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2024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4410"/>
        <w:tblGridChange w:id="0">
          <w:tblGrid>
            <w:gridCol w:w="4440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Lenguaje (color rojo o forro rojo)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cuaderno college 100 hojas para la asignatura de Ciencias Naturales (color verde o forro verde).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1 -Carpeta verde con archivador 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 para la asignatura de Inglés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utilizado como libreta de comunicaciones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Asignatura de Tecnología.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209.843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visuales: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Croquera de dibujo 16 x 21 cm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de colores cromo mega  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Pinceles grueso - delgado 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Polera de cambio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grafitos,lápiz pasta :azul,rojo ,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. Una regla de 12 cm.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elección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PRÍNCIPE FELIZ Y OTROS CUENTOS, OSCAR WILDE.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HAY QUE SALVAR A SOLE. ANGÉLICA DOSSETTI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CUENTOS DE LIBRE ELECCIÓN CON REPORTES Y DISERTACIÓN POR SOCIALIZAR. (SOBRE 100 PÁGINAS)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LOS CUENTOS DE LA SELVA, HORACIO QUIROGA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MONSTRUO DEL ARROYO, MARIO MENDEZ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LAS CRÓNICAS DE NARNIA: EL LEÓN, LA BRUJA Y EL ROPERO DE  C.S. LEWIS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5” Classbook y Activity book (ORIGINAL, no impreso, ya que se utilizará el código que trae cada libro)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,otros materiales dicha información será informada oportunamente.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-Todos los cuadernos deben permanecer con forro.</w:t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-316227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bo9V3qlcuCzjmLjmn4gt3p8uQ==">CgMxLjA4AHIhMVBCbE1XNGhpRFB2WHhaZGhLMmJ2TTF2UF9EVWNFNVZ1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